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C1B" w:rsidRPr="00A56C1B" w:rsidRDefault="00A56C1B" w:rsidP="00A56C1B">
      <w:pPr>
        <w:shd w:val="clear" w:color="auto" w:fill="F0F5FE"/>
        <w:spacing w:line="240" w:lineRule="auto"/>
        <w:ind w:firstLineChars="0" w:firstLine="420"/>
        <w:jc w:val="center"/>
        <w:rPr>
          <w:rFonts w:ascii="方正小标宋简体" w:eastAsia="方正小标宋简体" w:hAnsi="宋体" w:cs="宋体" w:hint="eastAsia"/>
          <w:kern w:val="0"/>
          <w:sz w:val="44"/>
          <w:szCs w:val="32"/>
        </w:rPr>
      </w:pPr>
      <w:r w:rsidRPr="00A56C1B">
        <w:rPr>
          <w:rFonts w:ascii="方正小标宋简体" w:eastAsia="方正小标宋简体" w:hAnsi="宋体" w:cs="宋体" w:hint="eastAsia"/>
          <w:kern w:val="0"/>
          <w:sz w:val="44"/>
          <w:szCs w:val="32"/>
        </w:rPr>
        <w:fldChar w:fldCharType="begin"/>
      </w:r>
      <w:r w:rsidRPr="00A56C1B">
        <w:rPr>
          <w:rFonts w:ascii="方正小标宋简体" w:eastAsia="方正小标宋简体" w:hAnsi="宋体" w:cs="宋体" w:hint="eastAsia"/>
          <w:kern w:val="0"/>
          <w:sz w:val="44"/>
          <w:szCs w:val="32"/>
        </w:rPr>
        <w:instrText xml:space="preserve"> HYPERLINK "javascript:SLC(262910,0)" </w:instrText>
      </w:r>
      <w:r w:rsidRPr="00A56C1B">
        <w:rPr>
          <w:rFonts w:ascii="方正小标宋简体" w:eastAsia="方正小标宋简体" w:hAnsi="宋体" w:cs="宋体" w:hint="eastAsia"/>
          <w:kern w:val="0"/>
          <w:sz w:val="44"/>
          <w:szCs w:val="32"/>
        </w:rPr>
        <w:fldChar w:fldCharType="separate"/>
      </w:r>
      <w:r w:rsidRPr="00A56C1B">
        <w:rPr>
          <w:rFonts w:ascii="方正小标宋简体" w:eastAsia="方正小标宋简体" w:hAnsi="Arial" w:cs="Arial" w:hint="eastAsia"/>
          <w:kern w:val="0"/>
          <w:sz w:val="44"/>
          <w:szCs w:val="32"/>
        </w:rPr>
        <w:t>最高人民检察院关于案例指导工作的规定</w:t>
      </w:r>
      <w:r w:rsidRPr="00A56C1B">
        <w:rPr>
          <w:rFonts w:ascii="方正小标宋简体" w:eastAsia="方正小标宋简体" w:hAnsi="宋体" w:cs="宋体" w:hint="eastAsia"/>
          <w:kern w:val="0"/>
          <w:sz w:val="44"/>
          <w:szCs w:val="32"/>
        </w:rPr>
        <w:fldChar w:fldCharType="end"/>
      </w:r>
    </w:p>
    <w:p w:rsidR="00A56C1B" w:rsidRPr="00A56C1B" w:rsidRDefault="00A56C1B" w:rsidP="00A56C1B">
      <w:pPr>
        <w:shd w:val="clear" w:color="auto" w:fill="F0F5FE"/>
        <w:spacing w:line="240" w:lineRule="auto"/>
        <w:ind w:firstLineChars="0" w:firstLine="420"/>
        <w:jc w:val="center"/>
        <w:rPr>
          <w:rFonts w:ascii="楷体_GB2312" w:eastAsia="楷体_GB2312" w:hAnsi="宋体" w:cs="宋体" w:hint="eastAsia"/>
          <w:kern w:val="0"/>
          <w:sz w:val="32"/>
          <w:szCs w:val="32"/>
        </w:rPr>
      </w:pPr>
      <w:r w:rsidRPr="00A56C1B">
        <w:rPr>
          <w:rFonts w:ascii="楷体_GB2312" w:eastAsia="楷体_GB2312" w:hAnsi="宋体" w:cs="宋体" w:hint="eastAsia"/>
          <w:kern w:val="0"/>
          <w:sz w:val="32"/>
          <w:szCs w:val="32"/>
        </w:rPr>
        <w:t>（2010年7月29日最高人民检察院第十一届检察委员会第四十次会议通过  2015年12月9日最高人民检察院第十二届检察委员会第四十四次会议第一次修订  2019年3月20日最高人民检察院第十三届检察委员会第十六次会议第二次修订）</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0" w:name="1"/>
      <w:r w:rsidRPr="00A56C1B">
        <w:rPr>
          <w:rFonts w:ascii="宋体" w:eastAsia="宋体" w:hAnsi="宋体" w:cs="宋体" w:hint="eastAsia"/>
          <w:kern w:val="0"/>
          <w:sz w:val="32"/>
          <w:szCs w:val="32"/>
        </w:rPr>
        <w:t xml:space="preserve">　　第一条</w:t>
      </w:r>
      <w:bookmarkEnd w:id="0"/>
      <w:r w:rsidRPr="00A56C1B">
        <w:rPr>
          <w:rFonts w:ascii="宋体" w:eastAsia="宋体" w:hAnsi="宋体" w:cs="宋体" w:hint="eastAsia"/>
          <w:kern w:val="0"/>
          <w:sz w:val="32"/>
          <w:szCs w:val="32"/>
        </w:rPr>
        <w:t xml:space="preserve">　为了加强和规范检察机关案例指导工作，发挥指导性案例对检察办案工作的示范引领作用，促进检察机关严格公正司法，保障法律统一正确实施，根</w:t>
      </w:r>
      <w:bookmarkStart w:id="1" w:name="_GoBack"/>
      <w:bookmarkEnd w:id="1"/>
      <w:r w:rsidRPr="00A56C1B">
        <w:rPr>
          <w:rFonts w:ascii="宋体" w:eastAsia="宋体" w:hAnsi="宋体" w:cs="宋体" w:hint="eastAsia"/>
          <w:kern w:val="0"/>
          <w:sz w:val="32"/>
          <w:szCs w:val="32"/>
        </w:rPr>
        <w:t>据《</w:t>
      </w:r>
      <w:hyperlink r:id="rId5" w:history="1">
        <w:r w:rsidRPr="00A56C1B">
          <w:rPr>
            <w:rFonts w:ascii="Arial" w:eastAsia="宋体" w:hAnsi="Arial" w:cs="Arial"/>
            <w:kern w:val="0"/>
            <w:sz w:val="32"/>
            <w:szCs w:val="32"/>
          </w:rPr>
          <w:t>中华人民共和国人民检察院组织法</w:t>
        </w:r>
      </w:hyperlink>
      <w:r w:rsidRPr="00A56C1B">
        <w:rPr>
          <w:rFonts w:ascii="宋体" w:eastAsia="宋体" w:hAnsi="宋体" w:cs="宋体" w:hint="eastAsia"/>
          <w:kern w:val="0"/>
          <w:sz w:val="32"/>
          <w:szCs w:val="32"/>
        </w:rPr>
        <w:t>》等法律规定，结合检察工作实际，制定本规定。</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2" w:name="2"/>
      <w:r w:rsidRPr="00A56C1B">
        <w:rPr>
          <w:rFonts w:ascii="宋体" w:eastAsia="宋体" w:hAnsi="宋体" w:cs="宋体" w:hint="eastAsia"/>
          <w:kern w:val="0"/>
          <w:sz w:val="32"/>
          <w:szCs w:val="32"/>
        </w:rPr>
        <w:t xml:space="preserve">　　第二条</w:t>
      </w:r>
      <w:bookmarkEnd w:id="2"/>
      <w:r w:rsidRPr="00A56C1B">
        <w:rPr>
          <w:rFonts w:ascii="宋体" w:eastAsia="宋体" w:hAnsi="宋体" w:cs="宋体" w:hint="eastAsia"/>
          <w:kern w:val="0"/>
          <w:sz w:val="32"/>
          <w:szCs w:val="32"/>
        </w:rPr>
        <w:t xml:space="preserve">　检察机关指导性案例由最高人民检察院发布。指导性案例应当符合以下条件：</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（一）案件处理结果已经发生法律效力；</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（二）办案程序符合法律规定；</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（三）在事实认定、证据运用、法律适用、政策把握、办案方法等方面对办理类似案件具有指导意义；</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（四）体现检察机关职能作用，取得良好政治效果、法律效果和社会效果。</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3" w:name="3"/>
      <w:r w:rsidRPr="00A56C1B">
        <w:rPr>
          <w:rFonts w:ascii="宋体" w:eastAsia="宋体" w:hAnsi="宋体" w:cs="宋体" w:hint="eastAsia"/>
          <w:kern w:val="0"/>
          <w:sz w:val="32"/>
          <w:szCs w:val="32"/>
        </w:rPr>
        <w:t xml:space="preserve">　　第三条</w:t>
      </w:r>
      <w:bookmarkEnd w:id="3"/>
      <w:r w:rsidRPr="00A56C1B">
        <w:rPr>
          <w:rFonts w:ascii="宋体" w:eastAsia="宋体" w:hAnsi="宋体" w:cs="宋体" w:hint="eastAsia"/>
          <w:kern w:val="0"/>
          <w:sz w:val="32"/>
          <w:szCs w:val="32"/>
        </w:rPr>
        <w:t xml:space="preserve">　指导性案例的体例，一般包括标题、关键词、要旨、基本案情、检察机关履职过程、指导意义和相关规定等部分。</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4" w:name="4"/>
      <w:r w:rsidRPr="00A56C1B">
        <w:rPr>
          <w:rFonts w:ascii="宋体" w:eastAsia="宋体" w:hAnsi="宋体" w:cs="宋体" w:hint="eastAsia"/>
          <w:kern w:val="0"/>
          <w:sz w:val="32"/>
          <w:szCs w:val="32"/>
        </w:rPr>
        <w:t xml:space="preserve">　　第四条</w:t>
      </w:r>
      <w:bookmarkEnd w:id="4"/>
      <w:r w:rsidRPr="00A56C1B">
        <w:rPr>
          <w:rFonts w:ascii="宋体" w:eastAsia="宋体" w:hAnsi="宋体" w:cs="宋体" w:hint="eastAsia"/>
          <w:kern w:val="0"/>
          <w:sz w:val="32"/>
          <w:szCs w:val="32"/>
        </w:rPr>
        <w:t xml:space="preserve">　发布指导性案例，应当注意保守国家秘密和商业秘密，保护涉案人员隐私。</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5" w:name="5"/>
      <w:r w:rsidRPr="00A56C1B">
        <w:rPr>
          <w:rFonts w:ascii="宋体" w:eastAsia="宋体" w:hAnsi="宋体" w:cs="宋体" w:hint="eastAsia"/>
          <w:kern w:val="0"/>
          <w:sz w:val="32"/>
          <w:szCs w:val="32"/>
        </w:rPr>
        <w:lastRenderedPageBreak/>
        <w:t xml:space="preserve">　　第五条</w:t>
      </w:r>
      <w:bookmarkEnd w:id="5"/>
      <w:r w:rsidRPr="00A56C1B">
        <w:rPr>
          <w:rFonts w:ascii="宋体" w:eastAsia="宋体" w:hAnsi="宋体" w:cs="宋体" w:hint="eastAsia"/>
          <w:kern w:val="0"/>
          <w:sz w:val="32"/>
          <w:szCs w:val="32"/>
        </w:rPr>
        <w:t xml:space="preserve">　省级人民检察院负责本地区备选指导性案例的收集、整理、审查和向最高人民检察院推荐工作。办理案件的人民检察院或者检察官可以向省级人民检察院推荐备选指导性案例。</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省级人民检察院各检察部和法律政策研究室向最高人民检察院对口部门推荐备选指导性案例，应当提交以下材料：</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（一）指导性案例推荐表；</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（二）按照规定体例撰写的案例文本；</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（三）有关法律文书和工作文书。</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最高人民检察院经初步审查认为可以作为备选指导性案例的，应当通知推荐案例的省级人民检察院报送案件卷宗。</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6" w:name="6"/>
      <w:r w:rsidRPr="00A56C1B">
        <w:rPr>
          <w:rFonts w:ascii="宋体" w:eastAsia="宋体" w:hAnsi="宋体" w:cs="宋体" w:hint="eastAsia"/>
          <w:kern w:val="0"/>
          <w:sz w:val="32"/>
          <w:szCs w:val="32"/>
        </w:rPr>
        <w:t xml:space="preserve">　　第六条</w:t>
      </w:r>
      <w:bookmarkEnd w:id="6"/>
      <w:r w:rsidRPr="00A56C1B">
        <w:rPr>
          <w:rFonts w:ascii="宋体" w:eastAsia="宋体" w:hAnsi="宋体" w:cs="宋体" w:hint="eastAsia"/>
          <w:kern w:val="0"/>
          <w:sz w:val="32"/>
          <w:szCs w:val="32"/>
        </w:rPr>
        <w:t xml:space="preserve">　人大代表、政协委员、人民监督员、专家咨询委员以及社会各界人士，可以</w:t>
      </w:r>
      <w:proofErr w:type="gramStart"/>
      <w:r w:rsidRPr="00A56C1B">
        <w:rPr>
          <w:rFonts w:ascii="宋体" w:eastAsia="宋体" w:hAnsi="宋体" w:cs="宋体" w:hint="eastAsia"/>
          <w:kern w:val="0"/>
          <w:sz w:val="32"/>
          <w:szCs w:val="32"/>
        </w:rPr>
        <w:t>向办理</w:t>
      </w:r>
      <w:proofErr w:type="gramEnd"/>
      <w:r w:rsidRPr="00A56C1B">
        <w:rPr>
          <w:rFonts w:ascii="宋体" w:eastAsia="宋体" w:hAnsi="宋体" w:cs="宋体" w:hint="eastAsia"/>
          <w:kern w:val="0"/>
          <w:sz w:val="32"/>
          <w:szCs w:val="32"/>
        </w:rPr>
        <w:t>案件的人民检察院或者其上级人民检察院推荐备选指导性案例。</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接受推荐的人民检察院应当及时告知推荐人备选指导性案例的后续情况。</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7" w:name="7"/>
      <w:r w:rsidRPr="00A56C1B">
        <w:rPr>
          <w:rFonts w:ascii="宋体" w:eastAsia="宋体" w:hAnsi="宋体" w:cs="宋体" w:hint="eastAsia"/>
          <w:kern w:val="0"/>
          <w:sz w:val="32"/>
          <w:szCs w:val="32"/>
        </w:rPr>
        <w:t xml:space="preserve">　　第七条</w:t>
      </w:r>
      <w:bookmarkEnd w:id="7"/>
      <w:r w:rsidRPr="00A56C1B">
        <w:rPr>
          <w:rFonts w:ascii="宋体" w:eastAsia="宋体" w:hAnsi="宋体" w:cs="宋体" w:hint="eastAsia"/>
          <w:kern w:val="0"/>
          <w:sz w:val="32"/>
          <w:szCs w:val="32"/>
        </w:rPr>
        <w:t xml:space="preserve">　最高人民检察院法律政策研究室统筹协调指导性案例的立项、审核、发布、清理工作。</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最高人民检察院各检察厅和法律政策研究室分工负责指导性案例的研究编制工作。各检察厅研究编制职责范围内的指导性案例，法律政策研究室研究编制涉及多个检察</w:t>
      </w:r>
      <w:proofErr w:type="gramStart"/>
      <w:r w:rsidRPr="00A56C1B">
        <w:rPr>
          <w:rFonts w:ascii="宋体" w:eastAsia="宋体" w:hAnsi="宋体" w:cs="宋体" w:hint="eastAsia"/>
          <w:kern w:val="0"/>
          <w:sz w:val="32"/>
          <w:szCs w:val="32"/>
        </w:rPr>
        <w:t>厅业务</w:t>
      </w:r>
      <w:proofErr w:type="gramEnd"/>
      <w:r w:rsidRPr="00A56C1B">
        <w:rPr>
          <w:rFonts w:ascii="宋体" w:eastAsia="宋体" w:hAnsi="宋体" w:cs="宋体" w:hint="eastAsia"/>
          <w:kern w:val="0"/>
          <w:sz w:val="32"/>
          <w:szCs w:val="32"/>
        </w:rPr>
        <w:t>或者院领导指定专题的指导性案例。</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8" w:name="8"/>
      <w:r w:rsidRPr="00A56C1B">
        <w:rPr>
          <w:rFonts w:ascii="宋体" w:eastAsia="宋体" w:hAnsi="宋体" w:cs="宋体" w:hint="eastAsia"/>
          <w:kern w:val="0"/>
          <w:sz w:val="32"/>
          <w:szCs w:val="32"/>
        </w:rPr>
        <w:lastRenderedPageBreak/>
        <w:t xml:space="preserve">　　第八条</w:t>
      </w:r>
      <w:bookmarkEnd w:id="8"/>
      <w:r w:rsidRPr="00A56C1B">
        <w:rPr>
          <w:rFonts w:ascii="宋体" w:eastAsia="宋体" w:hAnsi="宋体" w:cs="宋体" w:hint="eastAsia"/>
          <w:kern w:val="0"/>
          <w:sz w:val="32"/>
          <w:szCs w:val="32"/>
        </w:rPr>
        <w:t xml:space="preserve">　最高人民检察院各检察厅和法律政策研究室研究编制指导性案例，可以征求本业务条线、相关内设机构、有关机关对口业务部门和人大代表、专家学者等的意见。</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9" w:name="9"/>
      <w:r w:rsidRPr="00A56C1B">
        <w:rPr>
          <w:rFonts w:ascii="宋体" w:eastAsia="宋体" w:hAnsi="宋体" w:cs="宋体" w:hint="eastAsia"/>
          <w:kern w:val="0"/>
          <w:sz w:val="32"/>
          <w:szCs w:val="32"/>
        </w:rPr>
        <w:t xml:space="preserve">　　第九条</w:t>
      </w:r>
      <w:bookmarkEnd w:id="9"/>
      <w:r w:rsidRPr="00A56C1B">
        <w:rPr>
          <w:rFonts w:ascii="宋体" w:eastAsia="宋体" w:hAnsi="宋体" w:cs="宋体" w:hint="eastAsia"/>
          <w:kern w:val="0"/>
          <w:sz w:val="32"/>
          <w:szCs w:val="32"/>
        </w:rPr>
        <w:t xml:space="preserve">　最高人民检察院设立案例指导工作委员会。案例指导工作委员会由最高人民检察院分管法律政策研究室的副检察长、检察委员会专职委员、部分检察厅负责人或者全国检察业务专家以及法学界专家组成。</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提请检察委员会审议的备选指导性案例，应当经案例指导工作委员会讨论同意。</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案例指导工作委员会应当定期研究案例指导工作，每年度专题向检察委员会</w:t>
      </w:r>
      <w:proofErr w:type="gramStart"/>
      <w:r w:rsidRPr="00A56C1B">
        <w:rPr>
          <w:rFonts w:ascii="宋体" w:eastAsia="宋体" w:hAnsi="宋体" w:cs="宋体" w:hint="eastAsia"/>
          <w:kern w:val="0"/>
          <w:sz w:val="32"/>
          <w:szCs w:val="32"/>
        </w:rPr>
        <w:t>作出</w:t>
      </w:r>
      <w:proofErr w:type="gramEnd"/>
      <w:r w:rsidRPr="00A56C1B">
        <w:rPr>
          <w:rFonts w:ascii="宋体" w:eastAsia="宋体" w:hAnsi="宋体" w:cs="宋体" w:hint="eastAsia"/>
          <w:kern w:val="0"/>
          <w:sz w:val="32"/>
          <w:szCs w:val="32"/>
        </w:rPr>
        <w:t>报告。</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案例指导工作委员会的日常工作由法律政策研究室承担。</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0" w:name="10"/>
      <w:r w:rsidRPr="00A56C1B">
        <w:rPr>
          <w:rFonts w:ascii="宋体" w:eastAsia="宋体" w:hAnsi="宋体" w:cs="宋体" w:hint="eastAsia"/>
          <w:kern w:val="0"/>
          <w:sz w:val="32"/>
          <w:szCs w:val="32"/>
        </w:rPr>
        <w:t xml:space="preserve">　　第十条</w:t>
      </w:r>
      <w:bookmarkEnd w:id="10"/>
      <w:r w:rsidRPr="00A56C1B">
        <w:rPr>
          <w:rFonts w:ascii="宋体" w:eastAsia="宋体" w:hAnsi="宋体" w:cs="宋体" w:hint="eastAsia"/>
          <w:kern w:val="0"/>
          <w:sz w:val="32"/>
          <w:szCs w:val="32"/>
        </w:rPr>
        <w:t xml:space="preserve">　最高人民检察院各检察厅和法律政策研究室认为征集的案例符合备选指导性案例条件的，应当按照指导性案例体例进行编写，报分管副检察长同意后，提交案例指导工作委员会讨论。</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1" w:name="11"/>
      <w:r w:rsidRPr="00A56C1B">
        <w:rPr>
          <w:rFonts w:ascii="宋体" w:eastAsia="宋体" w:hAnsi="宋体" w:cs="宋体" w:hint="eastAsia"/>
          <w:kern w:val="0"/>
          <w:sz w:val="32"/>
          <w:szCs w:val="32"/>
        </w:rPr>
        <w:t xml:space="preserve">　　第十一条</w:t>
      </w:r>
      <w:bookmarkEnd w:id="11"/>
      <w:r w:rsidRPr="00A56C1B">
        <w:rPr>
          <w:rFonts w:ascii="宋体" w:eastAsia="宋体" w:hAnsi="宋体" w:cs="宋体" w:hint="eastAsia"/>
          <w:kern w:val="0"/>
          <w:sz w:val="32"/>
          <w:szCs w:val="32"/>
        </w:rPr>
        <w:t xml:space="preserve">　案例指导工作委员会同意作为备选指导性案例提请检察委员会审议的，承办部门应当按照案例指导工作委员会讨论意见对备选指导性案例进行修改，送法律政策研究室审核，并根据审核意见进一步修改后，报检察长决定提交检察委员会审议。</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2" w:name="12"/>
      <w:r w:rsidRPr="00A56C1B">
        <w:rPr>
          <w:rFonts w:ascii="宋体" w:eastAsia="宋体" w:hAnsi="宋体" w:cs="宋体" w:hint="eastAsia"/>
          <w:kern w:val="0"/>
          <w:sz w:val="32"/>
          <w:szCs w:val="32"/>
        </w:rPr>
        <w:lastRenderedPageBreak/>
        <w:t xml:space="preserve">　　第十二条</w:t>
      </w:r>
      <w:bookmarkEnd w:id="12"/>
      <w:r w:rsidRPr="00A56C1B">
        <w:rPr>
          <w:rFonts w:ascii="宋体" w:eastAsia="宋体" w:hAnsi="宋体" w:cs="宋体" w:hint="eastAsia"/>
          <w:kern w:val="0"/>
          <w:sz w:val="32"/>
          <w:szCs w:val="32"/>
        </w:rPr>
        <w:t xml:space="preserve">　检察委员会审议备选指导性案例时，由承办部门汇报案例研究编制情况，并就案例发布后的宣传培训提出建议。</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3" w:name="13"/>
      <w:r w:rsidRPr="00A56C1B">
        <w:rPr>
          <w:rFonts w:ascii="宋体" w:eastAsia="宋体" w:hAnsi="宋体" w:cs="宋体" w:hint="eastAsia"/>
          <w:kern w:val="0"/>
          <w:sz w:val="32"/>
          <w:szCs w:val="32"/>
        </w:rPr>
        <w:t xml:space="preserve">　　第十三条</w:t>
      </w:r>
      <w:bookmarkEnd w:id="13"/>
      <w:r w:rsidRPr="00A56C1B">
        <w:rPr>
          <w:rFonts w:ascii="宋体" w:eastAsia="宋体" w:hAnsi="宋体" w:cs="宋体" w:hint="eastAsia"/>
          <w:kern w:val="0"/>
          <w:sz w:val="32"/>
          <w:szCs w:val="32"/>
        </w:rPr>
        <w:t xml:space="preserve">　检察委员会审议通过的指导性案例，承办部门应当根据审议意见进行修改完善，送法律政策研究室进行法律核稿、统一编号后，报分管副检察长审核，由检察长签发。</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4" w:name="14"/>
      <w:r w:rsidRPr="00A56C1B">
        <w:rPr>
          <w:rFonts w:ascii="宋体" w:eastAsia="宋体" w:hAnsi="宋体" w:cs="宋体" w:hint="eastAsia"/>
          <w:kern w:val="0"/>
          <w:sz w:val="32"/>
          <w:szCs w:val="32"/>
        </w:rPr>
        <w:t xml:space="preserve">　　第十四条</w:t>
      </w:r>
      <w:bookmarkEnd w:id="14"/>
      <w:r w:rsidRPr="00A56C1B">
        <w:rPr>
          <w:rFonts w:ascii="宋体" w:eastAsia="宋体" w:hAnsi="宋体" w:cs="宋体" w:hint="eastAsia"/>
          <w:kern w:val="0"/>
          <w:sz w:val="32"/>
          <w:szCs w:val="32"/>
        </w:rPr>
        <w:t xml:space="preserve">　最高人民检察院发布的指导性案例，应当在《最高人民检察院公报》和最高人民检察院官方网站公布。</w:t>
      </w:r>
    </w:p>
    <w:p w:rsidR="00A56C1B" w:rsidRPr="00A56C1B" w:rsidRDefault="00A56C1B" w:rsidP="00A56C1B">
      <w:pPr>
        <w:spacing w:line="240" w:lineRule="auto"/>
        <w:ind w:firstLineChars="0" w:firstLine="0"/>
        <w:jc w:val="left"/>
        <w:rPr>
          <w:rFonts w:ascii="宋体" w:eastAsia="宋体" w:hAnsi="宋体" w:cs="宋体" w:hint="eastAsia"/>
          <w:kern w:val="0"/>
          <w:sz w:val="32"/>
          <w:szCs w:val="32"/>
        </w:rPr>
      </w:pPr>
      <w:bookmarkStart w:id="15" w:name="15"/>
      <w:r w:rsidRPr="00A56C1B">
        <w:rPr>
          <w:rFonts w:ascii="宋体" w:eastAsia="宋体" w:hAnsi="宋体" w:cs="宋体" w:hint="eastAsia"/>
          <w:kern w:val="0"/>
          <w:sz w:val="32"/>
          <w:szCs w:val="32"/>
        </w:rPr>
        <w:t xml:space="preserve">　　第十五条</w:t>
      </w:r>
      <w:bookmarkEnd w:id="15"/>
      <w:r w:rsidRPr="00A56C1B">
        <w:rPr>
          <w:rFonts w:ascii="宋体" w:eastAsia="宋体" w:hAnsi="宋体" w:cs="宋体" w:hint="eastAsia"/>
          <w:kern w:val="0"/>
          <w:sz w:val="32"/>
          <w:szCs w:val="32"/>
        </w:rPr>
        <w:t xml:space="preserve">　各级人民检察院应当参照指导性案例办理类似案件，可以引述相关指导性案例进行释法说理，但不得代替法律或者司法解释作为案件处理决定的直接依据。</w:t>
      </w:r>
    </w:p>
    <w:p w:rsidR="00A56C1B" w:rsidRPr="00A56C1B" w:rsidRDefault="00A56C1B" w:rsidP="00A56C1B">
      <w:pPr>
        <w:spacing w:line="240" w:lineRule="auto"/>
        <w:ind w:firstLineChars="0" w:firstLine="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各级人民检察院检察委员会审议案件时，承办检察官应当报告有无类似指导性案例，并说明参照适用情况。</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6" w:name="16"/>
      <w:r w:rsidRPr="00A56C1B">
        <w:rPr>
          <w:rFonts w:ascii="宋体" w:eastAsia="宋体" w:hAnsi="宋体" w:cs="宋体" w:hint="eastAsia"/>
          <w:kern w:val="0"/>
          <w:sz w:val="32"/>
          <w:szCs w:val="32"/>
        </w:rPr>
        <w:t xml:space="preserve">　　第十六条</w:t>
      </w:r>
      <w:bookmarkEnd w:id="16"/>
      <w:r w:rsidRPr="00A56C1B">
        <w:rPr>
          <w:rFonts w:ascii="宋体" w:eastAsia="宋体" w:hAnsi="宋体" w:cs="宋体" w:hint="eastAsia"/>
          <w:kern w:val="0"/>
          <w:sz w:val="32"/>
          <w:szCs w:val="32"/>
        </w:rPr>
        <w:t xml:space="preserve">　最高人民检察院建立指导性案例数据库，为各级人民检察院和社会公众检索、查询、参照适用指导性案例提供便利。</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7" w:name="17"/>
      <w:r w:rsidRPr="00A56C1B">
        <w:rPr>
          <w:rFonts w:ascii="宋体" w:eastAsia="宋体" w:hAnsi="宋体" w:cs="宋体" w:hint="eastAsia"/>
          <w:kern w:val="0"/>
          <w:sz w:val="32"/>
          <w:szCs w:val="32"/>
        </w:rPr>
        <w:t xml:space="preserve">　　第十七条</w:t>
      </w:r>
      <w:bookmarkEnd w:id="17"/>
      <w:r w:rsidRPr="00A56C1B">
        <w:rPr>
          <w:rFonts w:ascii="宋体" w:eastAsia="宋体" w:hAnsi="宋体" w:cs="宋体" w:hint="eastAsia"/>
          <w:kern w:val="0"/>
          <w:sz w:val="32"/>
          <w:szCs w:val="32"/>
        </w:rPr>
        <w:t xml:space="preserve">　各级人民检察院应当将指导性案例纳入业务培训，加强对指导性案例的学习应用。</w:t>
      </w:r>
    </w:p>
    <w:p w:rsidR="00A56C1B" w:rsidRPr="00A56C1B" w:rsidRDefault="00A56C1B" w:rsidP="00A56C1B">
      <w:pPr>
        <w:spacing w:line="240" w:lineRule="auto"/>
        <w:ind w:firstLineChars="0" w:firstLine="0"/>
        <w:jc w:val="left"/>
        <w:rPr>
          <w:rFonts w:ascii="宋体" w:eastAsia="宋体" w:hAnsi="宋体" w:cs="宋体"/>
          <w:kern w:val="0"/>
          <w:sz w:val="32"/>
          <w:szCs w:val="32"/>
        </w:rPr>
      </w:pPr>
      <w:bookmarkStart w:id="18" w:name="18"/>
      <w:r w:rsidRPr="00A56C1B">
        <w:rPr>
          <w:rFonts w:ascii="宋体" w:eastAsia="宋体" w:hAnsi="宋体" w:cs="宋体" w:hint="eastAsia"/>
          <w:kern w:val="0"/>
          <w:sz w:val="32"/>
          <w:szCs w:val="32"/>
        </w:rPr>
        <w:t xml:space="preserve">　　第十八条</w:t>
      </w:r>
      <w:bookmarkEnd w:id="18"/>
      <w:r w:rsidRPr="00A56C1B">
        <w:rPr>
          <w:rFonts w:ascii="宋体" w:eastAsia="宋体" w:hAnsi="宋体" w:cs="宋体" w:hint="eastAsia"/>
          <w:kern w:val="0"/>
          <w:sz w:val="32"/>
          <w:szCs w:val="32"/>
        </w:rPr>
        <w:t xml:space="preserve">　最高人民检察院在开展案例指导工作中，应当加强与有关机关的沟通。必要时，可以商有关机关就互涉法律适用问题共同发布指导性案例。</w:t>
      </w:r>
    </w:p>
    <w:p w:rsidR="00A56C1B" w:rsidRPr="00A56C1B" w:rsidRDefault="00A56C1B" w:rsidP="00A56C1B">
      <w:pPr>
        <w:spacing w:line="240" w:lineRule="auto"/>
        <w:ind w:firstLineChars="0" w:firstLine="420"/>
        <w:jc w:val="left"/>
        <w:rPr>
          <w:rFonts w:ascii="宋体" w:eastAsia="宋体" w:hAnsi="宋体" w:cs="宋体" w:hint="eastAsia"/>
          <w:kern w:val="0"/>
          <w:sz w:val="32"/>
          <w:szCs w:val="32"/>
        </w:rPr>
      </w:pPr>
      <w:bookmarkStart w:id="19" w:name="19"/>
      <w:r w:rsidRPr="00A56C1B">
        <w:rPr>
          <w:rFonts w:ascii="宋体" w:eastAsia="宋体" w:hAnsi="宋体" w:cs="宋体" w:hint="eastAsia"/>
          <w:kern w:val="0"/>
          <w:sz w:val="32"/>
          <w:szCs w:val="32"/>
        </w:rPr>
        <w:lastRenderedPageBreak/>
        <w:t xml:space="preserve">　　第十九条</w:t>
      </w:r>
      <w:bookmarkEnd w:id="19"/>
      <w:r w:rsidRPr="00A56C1B">
        <w:rPr>
          <w:rFonts w:ascii="宋体" w:eastAsia="宋体" w:hAnsi="宋体" w:cs="宋体" w:hint="eastAsia"/>
          <w:kern w:val="0"/>
          <w:sz w:val="32"/>
          <w:szCs w:val="32"/>
        </w:rPr>
        <w:t xml:space="preserve">　指导性案例具有下列情形之一的，最高人民检察院应当及时宣告失效，并在《最高人民检察院公报》和最高人民检察院官方网站公布：</w:t>
      </w:r>
    </w:p>
    <w:p w:rsidR="00A56C1B" w:rsidRPr="00A56C1B" w:rsidRDefault="00A56C1B" w:rsidP="00A56C1B">
      <w:pPr>
        <w:spacing w:line="240" w:lineRule="auto"/>
        <w:ind w:firstLineChars="0" w:firstLine="42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（一）案例援引的法律或者司法解释废止；</w:t>
      </w:r>
    </w:p>
    <w:p w:rsidR="00A56C1B" w:rsidRPr="00A56C1B" w:rsidRDefault="00A56C1B" w:rsidP="00A56C1B">
      <w:pPr>
        <w:spacing w:line="240" w:lineRule="auto"/>
        <w:ind w:firstLineChars="0" w:firstLine="42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（二）与新颁布的法律或者司法解释冲突；</w:t>
      </w:r>
    </w:p>
    <w:p w:rsidR="00A56C1B" w:rsidRPr="00A56C1B" w:rsidRDefault="00A56C1B" w:rsidP="00A56C1B">
      <w:pPr>
        <w:spacing w:line="240" w:lineRule="auto"/>
        <w:ind w:firstLineChars="0" w:firstLine="42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（三）被新发布的指导性案例取代；</w:t>
      </w:r>
    </w:p>
    <w:p w:rsidR="00A56C1B" w:rsidRPr="00A56C1B" w:rsidRDefault="00A56C1B" w:rsidP="00A56C1B">
      <w:pPr>
        <w:spacing w:line="240" w:lineRule="auto"/>
        <w:ind w:firstLineChars="0" w:firstLine="420"/>
        <w:jc w:val="left"/>
        <w:rPr>
          <w:rFonts w:ascii="宋体" w:eastAsia="宋体" w:hAnsi="宋体" w:cs="宋体" w:hint="eastAsia"/>
          <w:kern w:val="0"/>
          <w:sz w:val="32"/>
          <w:szCs w:val="32"/>
        </w:rPr>
      </w:pPr>
      <w:r w:rsidRPr="00A56C1B">
        <w:rPr>
          <w:rFonts w:ascii="宋体" w:eastAsia="宋体" w:hAnsi="宋体" w:cs="宋体" w:hint="eastAsia"/>
          <w:kern w:val="0"/>
          <w:sz w:val="32"/>
          <w:szCs w:val="32"/>
        </w:rPr>
        <w:t xml:space="preserve">　　（四）其他应当宣告失效的情形。</w:t>
      </w:r>
    </w:p>
    <w:p w:rsidR="00A56C1B" w:rsidRPr="00A56C1B" w:rsidRDefault="00A56C1B" w:rsidP="00A56C1B">
      <w:pPr>
        <w:spacing w:line="240" w:lineRule="auto"/>
        <w:ind w:firstLineChars="0" w:firstLine="420"/>
        <w:jc w:val="left"/>
        <w:rPr>
          <w:rFonts w:ascii="宋体" w:eastAsia="宋体" w:hAnsi="宋体" w:cs="宋体"/>
          <w:kern w:val="0"/>
          <w:sz w:val="32"/>
          <w:szCs w:val="32"/>
        </w:rPr>
      </w:pPr>
      <w:r w:rsidRPr="00A56C1B">
        <w:rPr>
          <w:rFonts w:ascii="宋体" w:eastAsia="宋体" w:hAnsi="宋体" w:cs="宋体" w:hint="eastAsia"/>
          <w:kern w:val="0"/>
          <w:sz w:val="32"/>
          <w:szCs w:val="32"/>
        </w:rPr>
        <w:t xml:space="preserve">　　宣告指导性案例失效，由最高人民检察院检察委员会决定。</w:t>
      </w:r>
    </w:p>
    <w:p w:rsidR="004F35E5" w:rsidRPr="00A56C1B" w:rsidRDefault="00A56C1B" w:rsidP="00A56C1B">
      <w:pPr>
        <w:ind w:firstLineChars="300" w:firstLine="960"/>
        <w:rPr>
          <w:sz w:val="32"/>
          <w:szCs w:val="32"/>
        </w:rPr>
      </w:pPr>
      <w:bookmarkStart w:id="20" w:name="20"/>
      <w:r w:rsidRPr="00A56C1B">
        <w:rPr>
          <w:rFonts w:ascii="宋体" w:eastAsia="宋体" w:hAnsi="宋体" w:cs="宋体" w:hint="eastAsia"/>
          <w:kern w:val="0"/>
          <w:sz w:val="32"/>
          <w:szCs w:val="32"/>
        </w:rPr>
        <w:t xml:space="preserve">　第二十条</w:t>
      </w:r>
      <w:bookmarkEnd w:id="20"/>
      <w:r w:rsidRPr="00A56C1B">
        <w:rPr>
          <w:rFonts w:ascii="宋体" w:eastAsia="宋体" w:hAnsi="宋体" w:cs="宋体" w:hint="eastAsia"/>
          <w:kern w:val="0"/>
          <w:sz w:val="32"/>
          <w:szCs w:val="32"/>
        </w:rPr>
        <w:t xml:space="preserve">　本规定自印发之日起施行。</w:t>
      </w:r>
    </w:p>
    <w:sectPr w:rsidR="004F35E5" w:rsidRPr="00A56C1B" w:rsidSect="00970479">
      <w:pgSz w:w="11906" w:h="16838"/>
      <w:pgMar w:top="1418" w:right="1531" w:bottom="1418" w:left="1531"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6C1B"/>
    <w:rsid w:val="0000036A"/>
    <w:rsid w:val="00002A9C"/>
    <w:rsid w:val="00002D89"/>
    <w:rsid w:val="0001627B"/>
    <w:rsid w:val="00021EF6"/>
    <w:rsid w:val="00041590"/>
    <w:rsid w:val="0006095E"/>
    <w:rsid w:val="000672E5"/>
    <w:rsid w:val="000B17B8"/>
    <w:rsid w:val="000F6676"/>
    <w:rsid w:val="00112327"/>
    <w:rsid w:val="00114101"/>
    <w:rsid w:val="00122D50"/>
    <w:rsid w:val="001A3A1D"/>
    <w:rsid w:val="001A6BD7"/>
    <w:rsid w:val="001B5217"/>
    <w:rsid w:val="001D00FD"/>
    <w:rsid w:val="001D0EAE"/>
    <w:rsid w:val="001D3A8E"/>
    <w:rsid w:val="001E1297"/>
    <w:rsid w:val="00202216"/>
    <w:rsid w:val="0021617A"/>
    <w:rsid w:val="0022250E"/>
    <w:rsid w:val="002249A9"/>
    <w:rsid w:val="002276B0"/>
    <w:rsid w:val="00255AE9"/>
    <w:rsid w:val="002617F2"/>
    <w:rsid w:val="0028155E"/>
    <w:rsid w:val="00296386"/>
    <w:rsid w:val="002A62C9"/>
    <w:rsid w:val="002F14CC"/>
    <w:rsid w:val="00321B26"/>
    <w:rsid w:val="00332A5F"/>
    <w:rsid w:val="00356289"/>
    <w:rsid w:val="003745E4"/>
    <w:rsid w:val="00374E83"/>
    <w:rsid w:val="003835FF"/>
    <w:rsid w:val="00383F99"/>
    <w:rsid w:val="003A1DBA"/>
    <w:rsid w:val="003A2FD9"/>
    <w:rsid w:val="003C4745"/>
    <w:rsid w:val="003D4533"/>
    <w:rsid w:val="003D618D"/>
    <w:rsid w:val="003F5CA9"/>
    <w:rsid w:val="00401B43"/>
    <w:rsid w:val="00407888"/>
    <w:rsid w:val="004276C9"/>
    <w:rsid w:val="00441A1D"/>
    <w:rsid w:val="004743A9"/>
    <w:rsid w:val="00474D0D"/>
    <w:rsid w:val="0048590B"/>
    <w:rsid w:val="004B72CB"/>
    <w:rsid w:val="004C240D"/>
    <w:rsid w:val="004C6F6C"/>
    <w:rsid w:val="004E1759"/>
    <w:rsid w:val="004E355C"/>
    <w:rsid w:val="004E361A"/>
    <w:rsid w:val="004F35E5"/>
    <w:rsid w:val="004F4A64"/>
    <w:rsid w:val="0053721F"/>
    <w:rsid w:val="0053772C"/>
    <w:rsid w:val="00537ADD"/>
    <w:rsid w:val="00542E1B"/>
    <w:rsid w:val="005572A4"/>
    <w:rsid w:val="00576A9D"/>
    <w:rsid w:val="00595B05"/>
    <w:rsid w:val="005A5558"/>
    <w:rsid w:val="005C01F0"/>
    <w:rsid w:val="005F1CBC"/>
    <w:rsid w:val="006330FA"/>
    <w:rsid w:val="006419D0"/>
    <w:rsid w:val="00644044"/>
    <w:rsid w:val="00653799"/>
    <w:rsid w:val="006620D4"/>
    <w:rsid w:val="006729C7"/>
    <w:rsid w:val="0068145C"/>
    <w:rsid w:val="006A3F14"/>
    <w:rsid w:val="006B64E7"/>
    <w:rsid w:val="006B74D2"/>
    <w:rsid w:val="006B7E68"/>
    <w:rsid w:val="006C17C7"/>
    <w:rsid w:val="006C6272"/>
    <w:rsid w:val="006C7768"/>
    <w:rsid w:val="006D2055"/>
    <w:rsid w:val="006E50A6"/>
    <w:rsid w:val="006F692D"/>
    <w:rsid w:val="006F79F1"/>
    <w:rsid w:val="007010E5"/>
    <w:rsid w:val="00703609"/>
    <w:rsid w:val="00703EE3"/>
    <w:rsid w:val="00715828"/>
    <w:rsid w:val="00715FB5"/>
    <w:rsid w:val="00743F97"/>
    <w:rsid w:val="00747F83"/>
    <w:rsid w:val="00754257"/>
    <w:rsid w:val="007705E1"/>
    <w:rsid w:val="0078452A"/>
    <w:rsid w:val="00791A0A"/>
    <w:rsid w:val="007A1546"/>
    <w:rsid w:val="007A2B72"/>
    <w:rsid w:val="007B29E5"/>
    <w:rsid w:val="007C37CC"/>
    <w:rsid w:val="007D6E70"/>
    <w:rsid w:val="007F446B"/>
    <w:rsid w:val="008157EA"/>
    <w:rsid w:val="00817590"/>
    <w:rsid w:val="00822744"/>
    <w:rsid w:val="00844273"/>
    <w:rsid w:val="0088144A"/>
    <w:rsid w:val="008840DC"/>
    <w:rsid w:val="00895D6F"/>
    <w:rsid w:val="00901251"/>
    <w:rsid w:val="00951F20"/>
    <w:rsid w:val="00954B33"/>
    <w:rsid w:val="0095739D"/>
    <w:rsid w:val="00970479"/>
    <w:rsid w:val="009901FB"/>
    <w:rsid w:val="00995B37"/>
    <w:rsid w:val="009A27C3"/>
    <w:rsid w:val="009B06E6"/>
    <w:rsid w:val="009F6ADC"/>
    <w:rsid w:val="00A1752F"/>
    <w:rsid w:val="00A217CE"/>
    <w:rsid w:val="00A54696"/>
    <w:rsid w:val="00A56C1B"/>
    <w:rsid w:val="00A64B01"/>
    <w:rsid w:val="00A677D6"/>
    <w:rsid w:val="00A7553C"/>
    <w:rsid w:val="00A868BC"/>
    <w:rsid w:val="00AA6D31"/>
    <w:rsid w:val="00AB26E1"/>
    <w:rsid w:val="00AB531D"/>
    <w:rsid w:val="00AD0BBD"/>
    <w:rsid w:val="00AE24B2"/>
    <w:rsid w:val="00AE5CA5"/>
    <w:rsid w:val="00AF2D38"/>
    <w:rsid w:val="00AF4333"/>
    <w:rsid w:val="00AF5A09"/>
    <w:rsid w:val="00B06344"/>
    <w:rsid w:val="00B32F97"/>
    <w:rsid w:val="00B33A06"/>
    <w:rsid w:val="00B43197"/>
    <w:rsid w:val="00B56006"/>
    <w:rsid w:val="00B6704D"/>
    <w:rsid w:val="00B715D6"/>
    <w:rsid w:val="00BA2D54"/>
    <w:rsid w:val="00BA4408"/>
    <w:rsid w:val="00BD2453"/>
    <w:rsid w:val="00C128B4"/>
    <w:rsid w:val="00C20407"/>
    <w:rsid w:val="00C20C15"/>
    <w:rsid w:val="00C25B6D"/>
    <w:rsid w:val="00C26EB0"/>
    <w:rsid w:val="00C47B7A"/>
    <w:rsid w:val="00C57301"/>
    <w:rsid w:val="00C907FF"/>
    <w:rsid w:val="00CB0246"/>
    <w:rsid w:val="00CB2C84"/>
    <w:rsid w:val="00CC04B4"/>
    <w:rsid w:val="00CC0EC7"/>
    <w:rsid w:val="00CC62AD"/>
    <w:rsid w:val="00CD537D"/>
    <w:rsid w:val="00CE56E5"/>
    <w:rsid w:val="00CF36CF"/>
    <w:rsid w:val="00D01754"/>
    <w:rsid w:val="00D06C46"/>
    <w:rsid w:val="00D06C5D"/>
    <w:rsid w:val="00D14B6A"/>
    <w:rsid w:val="00D14C40"/>
    <w:rsid w:val="00D2071C"/>
    <w:rsid w:val="00D27FFD"/>
    <w:rsid w:val="00D30F44"/>
    <w:rsid w:val="00D42D93"/>
    <w:rsid w:val="00D45D7F"/>
    <w:rsid w:val="00D73DD0"/>
    <w:rsid w:val="00D80858"/>
    <w:rsid w:val="00D84BC0"/>
    <w:rsid w:val="00D95D3B"/>
    <w:rsid w:val="00DE78DC"/>
    <w:rsid w:val="00E034E6"/>
    <w:rsid w:val="00E1508B"/>
    <w:rsid w:val="00E16198"/>
    <w:rsid w:val="00E230DD"/>
    <w:rsid w:val="00E31A8A"/>
    <w:rsid w:val="00E410E1"/>
    <w:rsid w:val="00E7321C"/>
    <w:rsid w:val="00E8416D"/>
    <w:rsid w:val="00E93FDF"/>
    <w:rsid w:val="00EB5FB8"/>
    <w:rsid w:val="00ED2328"/>
    <w:rsid w:val="00ED72CB"/>
    <w:rsid w:val="00F02034"/>
    <w:rsid w:val="00F10F46"/>
    <w:rsid w:val="00F16489"/>
    <w:rsid w:val="00F223C6"/>
    <w:rsid w:val="00F30AE8"/>
    <w:rsid w:val="00F30D52"/>
    <w:rsid w:val="00F43766"/>
    <w:rsid w:val="00F507D0"/>
    <w:rsid w:val="00F7003A"/>
    <w:rsid w:val="00F769B3"/>
    <w:rsid w:val="00F83A70"/>
    <w:rsid w:val="00F85776"/>
    <w:rsid w:val="00FC1090"/>
    <w:rsid w:val="00FD600B"/>
    <w:rsid w:val="00FD7737"/>
    <w:rsid w:val="00FE06DF"/>
    <w:rsid w:val="00FF0C7C"/>
    <w:rsid w:val="00FF252A"/>
    <w:rsid w:val="00FF3616"/>
    <w:rsid w:val="00FF4686"/>
    <w:rsid w:val="00FF68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0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6C1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508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A56C1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221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javascript:SLC(1751,0)"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334</Words>
  <Characters>1909</Characters>
  <Application>Microsoft Office Word</Application>
  <DocSecurity>0</DocSecurity>
  <Lines>15</Lines>
  <Paragraphs>4</Paragraphs>
  <ScaleCrop>false</ScaleCrop>
  <Company>Microsoft</Company>
  <LinksUpToDate>false</LinksUpToDate>
  <CharactersWithSpaces>2239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cp:revision>
  <dcterms:created xsi:type="dcterms:W3CDTF">2019-05-22T07:31:00Z</dcterms:created>
  <dcterms:modified xsi:type="dcterms:W3CDTF">2019-05-22T07:32:00Z</dcterms:modified>
</cp:coreProperties>
</file>